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804"/>
        <w:gridCol w:w="1134"/>
      </w:tblGrid>
      <w:tr w:rsidR="00BD0981" w14:paraId="0AB6B907" w14:textId="77777777" w:rsidTr="00BD0981">
        <w:trPr>
          <w:trHeight w:val="1418"/>
        </w:trPr>
        <w:tc>
          <w:tcPr>
            <w:tcW w:w="1276" w:type="dxa"/>
          </w:tcPr>
          <w:p w14:paraId="3C0B2085" w14:textId="77777777" w:rsidR="00BD0981" w:rsidRDefault="00BD0981" w:rsidP="00D34882">
            <w:r>
              <w:rPr>
                <w:noProof/>
                <w:lang w:eastAsia="en-AU"/>
              </w:rPr>
              <w:drawing>
                <wp:anchor distT="0" distB="0" distL="114300" distR="114300" simplePos="0" relativeHeight="251661312" behindDoc="1" locked="0" layoutInCell="1" allowOverlap="1" wp14:anchorId="523FAAA8" wp14:editId="6F82D348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45085</wp:posOffset>
                  </wp:positionV>
                  <wp:extent cx="727075" cy="7480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11EB702D" w14:textId="77777777" w:rsidR="00BD0981" w:rsidRPr="00A96CAD" w:rsidRDefault="00BD0981" w:rsidP="00BD0981">
            <w:pPr>
              <w:spacing w:after="0" w:line="240" w:lineRule="auto"/>
              <w:jc w:val="center"/>
              <w:rPr>
                <w:sz w:val="28"/>
                <w:szCs w:val="28"/>
                <w:lang w:val="id-ID"/>
              </w:rPr>
            </w:pPr>
            <w:r w:rsidRPr="00A96CAD">
              <w:rPr>
                <w:sz w:val="28"/>
                <w:szCs w:val="28"/>
                <w:lang w:val="id-ID"/>
              </w:rPr>
              <w:t>DEWAN PERWAKILAN RAKYAT REPU</w:t>
            </w:r>
            <w:r>
              <w:rPr>
                <w:sz w:val="28"/>
                <w:szCs w:val="28"/>
                <w:lang w:val="id-ID"/>
              </w:rPr>
              <w:t>B</w:t>
            </w:r>
            <w:r w:rsidRPr="00A96CAD">
              <w:rPr>
                <w:sz w:val="28"/>
                <w:szCs w:val="28"/>
                <w:lang w:val="id-ID"/>
              </w:rPr>
              <w:t>LIK INDONESIA</w:t>
            </w:r>
          </w:p>
          <w:p w14:paraId="103B2A5E" w14:textId="77777777" w:rsidR="00BD0981" w:rsidRPr="00A96CAD" w:rsidRDefault="00BD0981" w:rsidP="00BD098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id-ID"/>
              </w:rPr>
            </w:pPr>
            <w:r w:rsidRPr="00A96CAD">
              <w:rPr>
                <w:rFonts w:ascii="Tahoma" w:hAnsi="Tahoma" w:cs="Tahoma"/>
                <w:b/>
                <w:bCs/>
                <w:sz w:val="32"/>
                <w:szCs w:val="32"/>
                <w:lang w:val="id-ID"/>
              </w:rPr>
              <w:t>FRAKSI PARTAI KEADILAN SEJAHTERA</w:t>
            </w:r>
          </w:p>
          <w:p w14:paraId="48D51E95" w14:textId="77777777" w:rsidR="00BD0981" w:rsidRPr="00AD42A1" w:rsidRDefault="00BD0981" w:rsidP="00BD0981">
            <w:pPr>
              <w:spacing w:after="0" w:line="240" w:lineRule="auto"/>
              <w:ind w:left="-249" w:right="-108" w:firstLine="141"/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fi-FI"/>
              </w:rPr>
              <w:t>DPR – RI,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>
              <w:rPr>
                <w:sz w:val="21"/>
                <w:szCs w:val="21"/>
                <w:lang w:val="id-ID"/>
              </w:rPr>
              <w:t xml:space="preserve">Gd. </w:t>
            </w:r>
            <w:r>
              <w:rPr>
                <w:sz w:val="21"/>
                <w:szCs w:val="21"/>
                <w:lang w:val="fi-FI"/>
              </w:rPr>
              <w:t>Nusantara I</w:t>
            </w:r>
            <w:r>
              <w:rPr>
                <w:sz w:val="21"/>
                <w:szCs w:val="21"/>
                <w:lang w:val="id-ID"/>
              </w:rPr>
              <w:t xml:space="preserve"> Lt. III</w:t>
            </w:r>
            <w:r>
              <w:rPr>
                <w:sz w:val="21"/>
                <w:szCs w:val="21"/>
                <w:lang w:val="fi-FI"/>
              </w:rPr>
              <w:t>,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 xml:space="preserve"> JL. Jend. 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 xml:space="preserve">Gatot 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 xml:space="preserve">Subroto, 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 xml:space="preserve">Jakarta </w:t>
            </w:r>
            <w:r>
              <w:rPr>
                <w:sz w:val="21"/>
                <w:szCs w:val="21"/>
                <w:lang w:val="id-ID"/>
              </w:rPr>
              <w:t xml:space="preserve">  </w:t>
            </w:r>
            <w:r>
              <w:rPr>
                <w:sz w:val="21"/>
                <w:szCs w:val="21"/>
                <w:lang w:val="fi-FI"/>
              </w:rPr>
              <w:t>10270</w:t>
            </w:r>
          </w:p>
          <w:p w14:paraId="33030A14" w14:textId="77777777" w:rsidR="00BD0981" w:rsidRPr="00A96CAD" w:rsidRDefault="00BD0981" w:rsidP="00BD0981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sz w:val="21"/>
                <w:szCs w:val="21"/>
                <w:lang w:val="fi-FI"/>
              </w:rPr>
              <w:t xml:space="preserve">Telp.  </w:t>
            </w:r>
            <w:r>
              <w:rPr>
                <w:sz w:val="21"/>
                <w:szCs w:val="21"/>
              </w:rPr>
              <w:t xml:space="preserve">(021) 575 6087 - 575 6088 - 575 </w:t>
            </w:r>
            <w:proofErr w:type="gramStart"/>
            <w:r>
              <w:rPr>
                <w:sz w:val="21"/>
                <w:szCs w:val="21"/>
              </w:rPr>
              <w:t>6090 ,</w:t>
            </w:r>
            <w:proofErr w:type="gramEnd"/>
            <w:r>
              <w:rPr>
                <w:sz w:val="21"/>
                <w:szCs w:val="21"/>
              </w:rPr>
              <w:t xml:space="preserve">  Fax. (021) 575 6086</w:t>
            </w:r>
          </w:p>
        </w:tc>
        <w:tc>
          <w:tcPr>
            <w:tcW w:w="1134" w:type="dxa"/>
          </w:tcPr>
          <w:p w14:paraId="16A673D7" w14:textId="77777777" w:rsidR="00BD0981" w:rsidRDefault="00BD0981" w:rsidP="00D34882">
            <w:r w:rsidRPr="00682605">
              <w:rPr>
                <w:rFonts w:ascii="Book Antiqua" w:hAnsi="Book Antiqua"/>
                <w:b/>
                <w:noProof/>
                <w:lang w:eastAsia="en-AU"/>
              </w:rPr>
              <w:drawing>
                <wp:inline distT="0" distB="0" distL="0" distR="0" wp14:anchorId="08F072B6" wp14:editId="0B6D65D8">
                  <wp:extent cx="526942" cy="714375"/>
                  <wp:effectExtent l="0" t="0" r="6985" b="0"/>
                  <wp:docPr id="258" name="Picture 258" descr="C:\Users\yuser\Desktop\PKS_logo_2020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ser\Desktop\PKS_logo_2020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42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504AE" w14:textId="77777777" w:rsidR="00BD0981" w:rsidRDefault="00BD0981" w:rsidP="00BD0981">
      <w:pPr>
        <w:ind w:left="-142" w:right="-330"/>
        <w:rPr>
          <w:lang w:val="id-ID"/>
        </w:rPr>
      </w:pPr>
      <w:r>
        <w:rPr>
          <w:lang w:val="id-ID"/>
        </w:rPr>
        <w:t>====================================================================================</w:t>
      </w:r>
    </w:p>
    <w:p w14:paraId="52F15775" w14:textId="77777777" w:rsidR="00F876B5" w:rsidRDefault="00F876B5" w:rsidP="00F876B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id-ID"/>
        </w:rPr>
      </w:pPr>
      <w:r>
        <w:rPr>
          <w:rFonts w:ascii="Bookman Old Style" w:hAnsi="Bookman Old Style"/>
          <w:b/>
          <w:sz w:val="26"/>
          <w:szCs w:val="26"/>
        </w:rPr>
        <w:t>SIKAP FRAKSI PKS</w:t>
      </w:r>
      <w:r w:rsidRPr="00CC5E04">
        <w:rPr>
          <w:rFonts w:ascii="Bookman Old Style" w:hAnsi="Bookman Old Style"/>
          <w:b/>
          <w:sz w:val="26"/>
          <w:szCs w:val="26"/>
        </w:rPr>
        <w:t xml:space="preserve"> TERHADAP RUU </w:t>
      </w:r>
    </w:p>
    <w:p w14:paraId="0FB511F4" w14:textId="77777777" w:rsidR="00F876B5" w:rsidRDefault="00F876B5" w:rsidP="00F876B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id-ID"/>
        </w:rPr>
      </w:pPr>
      <w:r w:rsidRPr="00CC5E04">
        <w:rPr>
          <w:rFonts w:ascii="Bookman Old Style" w:hAnsi="Bookman Old Style"/>
          <w:b/>
          <w:sz w:val="26"/>
          <w:szCs w:val="26"/>
        </w:rPr>
        <w:t xml:space="preserve">TENTANG </w:t>
      </w:r>
    </w:p>
    <w:p w14:paraId="307E6714" w14:textId="77777777" w:rsidR="00F876B5" w:rsidRDefault="00F876B5" w:rsidP="00F876B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CC5E04">
        <w:rPr>
          <w:rFonts w:ascii="Bookman Old Style" w:hAnsi="Bookman Old Style"/>
          <w:b/>
          <w:sz w:val="26"/>
          <w:szCs w:val="26"/>
        </w:rPr>
        <w:t xml:space="preserve">TINDAK PIDANA KEKERASAN SEKSUAL </w:t>
      </w:r>
    </w:p>
    <w:p w14:paraId="7C452EE6" w14:textId="77777777" w:rsidR="00F876B5" w:rsidRDefault="00F876B5" w:rsidP="00F876B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14:paraId="05251615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ACCE616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  <w:lang w:val="fi-FI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fi-FI"/>
        </w:rPr>
        <w:t>Bismillahirrahmanirrahiim;</w:t>
      </w:r>
    </w:p>
    <w:p w14:paraId="21A3DE9E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  <w:lang w:val="en-AU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>A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ssalamu’alaikum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Warohmatullohi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Wabarokatuh</w:t>
      </w:r>
      <w:proofErr w:type="spellEnd"/>
    </w:p>
    <w:p w14:paraId="26A01A5B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  <w:lang w:val="en-AU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 xml:space="preserve">Salam Sejahtera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>untuk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 xml:space="preserve">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>kita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 xml:space="preserve">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  <w:lang w:val="en-AU"/>
        </w:rPr>
        <w:t>semua</w:t>
      </w:r>
      <w:proofErr w:type="spellEnd"/>
    </w:p>
    <w:p w14:paraId="671FEF6C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  <w:lang w:val="fi-FI"/>
        </w:rPr>
      </w:pPr>
    </w:p>
    <w:p w14:paraId="4F30DE52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  <w:lang w:val="fi-FI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fi-FI"/>
        </w:rPr>
        <w:t>Yang kami hormati:</w:t>
      </w:r>
    </w:p>
    <w:p w14:paraId="20CDD2B2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fi-FI"/>
        </w:rPr>
        <w:t xml:space="preserve">-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Pimpinan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</w:rPr>
        <w:t xml:space="preserve"> dan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Anggota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</w:rPr>
        <w:t xml:space="preserve"> Badan </w:t>
      </w:r>
      <w:proofErr w:type="spellStart"/>
      <w:r w:rsidRPr="00F259F2">
        <w:rPr>
          <w:rFonts w:ascii="Bookman Old Style" w:hAnsi="Bookman Old Style" w:cs="Arial"/>
          <w:b/>
          <w:i/>
          <w:sz w:val="24"/>
          <w:szCs w:val="24"/>
        </w:rPr>
        <w:t>Legislasi</w:t>
      </w:r>
      <w:proofErr w:type="spellEnd"/>
      <w:r w:rsidRPr="00F259F2">
        <w:rPr>
          <w:rFonts w:ascii="Bookman Old Style" w:hAnsi="Bookman Old Style" w:cs="Arial"/>
          <w:b/>
          <w:i/>
          <w:sz w:val="24"/>
          <w:szCs w:val="24"/>
        </w:rPr>
        <w:t xml:space="preserve"> DPR-RI</w:t>
      </w:r>
    </w:p>
    <w:p w14:paraId="1318C784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>- Menteri PPA</w:t>
      </w:r>
    </w:p>
    <w:p w14:paraId="38AAC60E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 xml:space="preserve">- </w:t>
      </w:r>
      <w:proofErr w:type="spellStart"/>
      <w:r>
        <w:rPr>
          <w:rFonts w:ascii="Bookman Old Style" w:hAnsi="Bookman Old Style" w:cs="Arial"/>
          <w:b/>
          <w:i/>
          <w:sz w:val="24"/>
          <w:szCs w:val="24"/>
        </w:rPr>
        <w:t>Mendagri</w:t>
      </w:r>
      <w:proofErr w:type="spellEnd"/>
    </w:p>
    <w:p w14:paraId="0A7CDC48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 xml:space="preserve">- </w:t>
      </w:r>
      <w:proofErr w:type="spellStart"/>
      <w:r>
        <w:rPr>
          <w:rFonts w:ascii="Bookman Old Style" w:hAnsi="Bookman Old Style" w:cs="Arial"/>
          <w:b/>
          <w:i/>
          <w:sz w:val="24"/>
          <w:szCs w:val="24"/>
        </w:rPr>
        <w:t>Mensos</w:t>
      </w:r>
      <w:proofErr w:type="spellEnd"/>
    </w:p>
    <w:p w14:paraId="731B7DC9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 xml:space="preserve">- </w:t>
      </w:r>
      <w:proofErr w:type="spellStart"/>
      <w:r>
        <w:rPr>
          <w:rFonts w:ascii="Bookman Old Style" w:hAnsi="Bookman Old Style" w:cs="Arial"/>
          <w:b/>
          <w:i/>
          <w:sz w:val="24"/>
          <w:szCs w:val="24"/>
        </w:rPr>
        <w:t>Menkumham</w:t>
      </w:r>
      <w:proofErr w:type="spellEnd"/>
    </w:p>
    <w:p w14:paraId="00B57ABD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F259F2">
        <w:rPr>
          <w:rFonts w:ascii="Bookman Old Style" w:hAnsi="Bookman Old Style" w:cs="Arial"/>
          <w:b/>
          <w:i/>
          <w:sz w:val="24"/>
          <w:szCs w:val="24"/>
          <w:lang w:val="sv-SE"/>
        </w:rPr>
        <w:t>- Rekan-rekan wartawan serta hadirin yang kami muliakan</w:t>
      </w:r>
    </w:p>
    <w:p w14:paraId="4D325BBB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FF6022F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259F2">
        <w:rPr>
          <w:rFonts w:ascii="Bookman Old Style" w:hAnsi="Bookman Old Style" w:cs="Arial"/>
          <w:sz w:val="24"/>
          <w:szCs w:val="24"/>
        </w:rPr>
        <w:t xml:space="preserve">Segala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puji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syukur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kehadirat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Allah </w:t>
      </w:r>
      <w:proofErr w:type="spellStart"/>
      <w:r w:rsidRPr="00F259F2">
        <w:rPr>
          <w:rFonts w:ascii="Bookman Old Style" w:hAnsi="Bookman Old Style" w:cs="Arial"/>
          <w:i/>
          <w:iCs/>
          <w:sz w:val="24"/>
          <w:szCs w:val="24"/>
        </w:rPr>
        <w:t>Subhanahu</w:t>
      </w:r>
      <w:proofErr w:type="spellEnd"/>
      <w:r w:rsidRPr="00F259F2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i/>
          <w:iCs/>
          <w:sz w:val="24"/>
          <w:szCs w:val="24"/>
        </w:rPr>
        <w:t>Wa</w:t>
      </w:r>
      <w:proofErr w:type="spellEnd"/>
      <w:r w:rsidRPr="00F259F2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i/>
          <w:iCs/>
          <w:sz w:val="24"/>
          <w:szCs w:val="24"/>
        </w:rPr>
        <w:t>Ta’ala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limpahan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kasih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sayang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rahmat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-Nya,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kita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bisa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menghadiri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Rapat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Kerja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Pembahasan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RUU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Tindak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Pidana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Kekerasan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Seksual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/RUU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Penghapusan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Kekerasan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Seksual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 w:cs="Arial"/>
          <w:sz w:val="24"/>
          <w:szCs w:val="24"/>
        </w:rPr>
        <w:t>Terkait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pembahasan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RUU TPKS, kami </w:t>
      </w:r>
      <w:proofErr w:type="spellStart"/>
      <w:r>
        <w:rPr>
          <w:rFonts w:ascii="Bookman Old Style" w:hAnsi="Bookman Old Style" w:cs="Arial"/>
          <w:sz w:val="24"/>
          <w:szCs w:val="24"/>
        </w:rPr>
        <w:t>Fraksi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PKS </w:t>
      </w:r>
      <w:proofErr w:type="spellStart"/>
      <w:r>
        <w:rPr>
          <w:rFonts w:ascii="Bookman Old Style" w:hAnsi="Bookman Old Style" w:cs="Arial"/>
          <w:sz w:val="24"/>
          <w:szCs w:val="24"/>
        </w:rPr>
        <w:t>menyampaikan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hal-hal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sebagai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berikut</w:t>
      </w:r>
      <w:proofErr w:type="spellEnd"/>
      <w:r>
        <w:rPr>
          <w:rFonts w:ascii="Bookman Old Style" w:hAnsi="Bookman Old Style" w:cs="Arial"/>
          <w:sz w:val="24"/>
          <w:szCs w:val="24"/>
        </w:rPr>
        <w:t>:</w:t>
      </w:r>
    </w:p>
    <w:p w14:paraId="3BBE7D92" w14:textId="77777777" w:rsidR="00F876B5" w:rsidRPr="00504ADC" w:rsidRDefault="00F876B5" w:rsidP="00F876B5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5E4223C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04ADC">
        <w:rPr>
          <w:rFonts w:ascii="Bookman Old Style" w:hAnsi="Bookman Old Style"/>
          <w:b/>
          <w:bCs/>
          <w:i/>
          <w:sz w:val="24"/>
          <w:szCs w:val="24"/>
        </w:rPr>
        <w:t>Pertama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Bahwa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4911D8">
        <w:rPr>
          <w:rFonts w:ascii="Bookman Old Style" w:hAnsi="Bookman Old Style"/>
          <w:b/>
          <w:bCs/>
          <w:sz w:val="24"/>
          <w:szCs w:val="24"/>
        </w:rPr>
        <w:t>telah</w:t>
      </w:r>
      <w:proofErr w:type="spellEnd"/>
      <w:r w:rsidR="004911D8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4627F0">
        <w:rPr>
          <w:rFonts w:ascii="Bookman Old Style" w:hAnsi="Bookman Old Style"/>
          <w:b/>
          <w:bCs/>
          <w:sz w:val="24"/>
          <w:szCs w:val="24"/>
        </w:rPr>
        <w:t>tercatat</w:t>
      </w:r>
      <w:proofErr w:type="spellEnd"/>
      <w:r w:rsidR="004627F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4627F0">
        <w:rPr>
          <w:rFonts w:ascii="Bookman Old Style" w:hAnsi="Bookman Old Style"/>
          <w:b/>
          <w:bCs/>
          <w:sz w:val="24"/>
          <w:szCs w:val="24"/>
        </w:rPr>
        <w:t>dalam</w:t>
      </w:r>
      <w:proofErr w:type="spellEnd"/>
      <w:r w:rsidR="004627F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4627F0">
        <w:rPr>
          <w:rFonts w:ascii="Bookman Old Style" w:hAnsi="Bookman Old Style"/>
          <w:b/>
          <w:bCs/>
          <w:sz w:val="24"/>
          <w:szCs w:val="24"/>
        </w:rPr>
        <w:t>sejarah</w:t>
      </w:r>
      <w:proofErr w:type="spellEnd"/>
      <w:r w:rsidR="004627F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4627F0">
        <w:rPr>
          <w:rFonts w:ascii="Bookman Old Style" w:hAnsi="Bookman Old Style"/>
          <w:b/>
          <w:bCs/>
          <w:sz w:val="24"/>
          <w:szCs w:val="24"/>
        </w:rPr>
        <w:t>keputusan</w:t>
      </w:r>
      <w:proofErr w:type="spellEnd"/>
      <w:r w:rsidR="004627F0">
        <w:rPr>
          <w:rFonts w:ascii="Bookman Old Style" w:hAnsi="Bookman Old Style"/>
          <w:b/>
          <w:bCs/>
          <w:sz w:val="24"/>
          <w:szCs w:val="24"/>
        </w:rPr>
        <w:t xml:space="preserve"> MK </w:t>
      </w:r>
      <w:proofErr w:type="spellStart"/>
      <w:r w:rsidR="004627F0">
        <w:rPr>
          <w:rFonts w:ascii="Bookman Old Style" w:hAnsi="Bookman Old Style"/>
          <w:b/>
          <w:bCs/>
          <w:sz w:val="24"/>
          <w:szCs w:val="24"/>
        </w:rPr>
        <w:t>tahun</w:t>
      </w:r>
      <w:proofErr w:type="spellEnd"/>
      <w:r w:rsidR="004627F0">
        <w:rPr>
          <w:rFonts w:ascii="Bookman Old Style" w:hAnsi="Bookman Old Style"/>
          <w:b/>
          <w:bCs/>
          <w:sz w:val="24"/>
          <w:szCs w:val="24"/>
        </w:rPr>
        <w:t xml:space="preserve"> 2016, </w:t>
      </w:r>
      <w:r w:rsidR="0095064F">
        <w:rPr>
          <w:rFonts w:ascii="Bookman Old Style" w:hAnsi="Bookman Old Style"/>
          <w:b/>
          <w:bCs/>
          <w:sz w:val="24"/>
          <w:szCs w:val="24"/>
        </w:rPr>
        <w:t xml:space="preserve">yang </w:t>
      </w:r>
      <w:proofErr w:type="spellStart"/>
      <w:r w:rsidR="0095064F">
        <w:rPr>
          <w:rFonts w:ascii="Bookman Old Style" w:hAnsi="Bookman Old Style"/>
          <w:b/>
          <w:bCs/>
          <w:sz w:val="24"/>
          <w:szCs w:val="24"/>
        </w:rPr>
        <w:t>tertuang</w:t>
      </w:r>
      <w:proofErr w:type="spellEnd"/>
      <w:r w:rsidR="0095064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d</w:t>
      </w:r>
      <w:r w:rsidRPr="00504ADC">
        <w:rPr>
          <w:rFonts w:ascii="Bookman Old Style" w:hAnsi="Bookman Old Style"/>
          <w:b/>
          <w:bCs/>
          <w:sz w:val="24"/>
          <w:szCs w:val="24"/>
        </w:rPr>
        <w:t>alam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Putusan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Nomor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46/PUU-XIV/2016,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Menegaskan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bahwa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Diperlukan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Langkah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Perbaikan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untuk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Melengkapi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Pasal-pasal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Mengatur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oleh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Pembentuk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6C020341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443BBF1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meliputi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segala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bentuk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Perzinahan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Penyimpangan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Dalam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Permohonan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Uji Materi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284,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285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292 KUHP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perkara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46/PUU-XIV/2016,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diajukan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oleh </w:t>
      </w:r>
      <w:proofErr w:type="spellStart"/>
      <w:r w:rsidR="007B3D59">
        <w:rPr>
          <w:rFonts w:ascii="Bookman Old Style" w:hAnsi="Bookman Old Style"/>
          <w:bCs/>
          <w:sz w:val="24"/>
          <w:szCs w:val="24"/>
        </w:rPr>
        <w:t>Prof.Dr.</w:t>
      </w:r>
      <w:r w:rsidR="009C7DAB">
        <w:rPr>
          <w:rFonts w:ascii="Bookman Old Style" w:hAnsi="Bookman Old Style"/>
          <w:bCs/>
          <w:sz w:val="24"/>
          <w:szCs w:val="24"/>
        </w:rPr>
        <w:t>Ir</w:t>
      </w:r>
      <w:proofErr w:type="spellEnd"/>
      <w:r w:rsidR="009C7DAB">
        <w:rPr>
          <w:rFonts w:ascii="Bookman Old Style" w:hAnsi="Bookman Old Style"/>
          <w:bCs/>
          <w:sz w:val="24"/>
          <w:szCs w:val="24"/>
        </w:rPr>
        <w:t>.</w:t>
      </w:r>
      <w:r w:rsidR="00535DAE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Euis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Sunarti</w:t>
      </w:r>
      <w:proofErr w:type="spellEnd"/>
      <w:r w:rsidR="0031452A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proofErr w:type="gramStart"/>
      <w:r w:rsidR="0031452A">
        <w:rPr>
          <w:rFonts w:ascii="Bookman Old Style" w:hAnsi="Bookman Old Style"/>
          <w:bCs/>
          <w:sz w:val="24"/>
          <w:szCs w:val="24"/>
        </w:rPr>
        <w:t>M.Si</w:t>
      </w:r>
      <w:proofErr w:type="spellEnd"/>
      <w:proofErr w:type="gramEnd"/>
      <w:r w:rsidR="00F00E3E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lastRenderedPageBreak/>
        <w:t>bersama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sejumlah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pihak</w:t>
      </w:r>
      <w:proofErr w:type="spellEnd"/>
      <w:r w:rsidR="00F00E3E">
        <w:rPr>
          <w:rFonts w:ascii="Bookman Old Style" w:hAnsi="Bookman Old Style"/>
          <w:bCs/>
          <w:sz w:val="24"/>
          <w:szCs w:val="24"/>
        </w:rPr>
        <w:t>.</w:t>
      </w:r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F00E3E">
        <w:rPr>
          <w:rFonts w:ascii="Bookman Old Style" w:hAnsi="Bookman Old Style"/>
          <w:bCs/>
          <w:sz w:val="24"/>
          <w:szCs w:val="24"/>
        </w:rPr>
        <w:t>P</w:t>
      </w:r>
      <w:r w:rsidRPr="00504ADC">
        <w:rPr>
          <w:rFonts w:ascii="Bookman Old Style" w:hAnsi="Bookman Old Style"/>
          <w:bCs/>
          <w:sz w:val="24"/>
          <w:szCs w:val="24"/>
        </w:rPr>
        <w:t>emohon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meminta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memperjelas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rumusan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delik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diatur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ketiga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Pemohon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gugatannya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meminta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284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perlu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memiliki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unsur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salah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satu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orang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berbuat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zina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sedang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ikatan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perkawinan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perlu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ada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aduan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Terkait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285,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pemohon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meminta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menyatakan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bahwa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pemerkosaan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mencakup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semua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ancaman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untuk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bersetubuh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dilakukan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oleh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laki-laki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terhadap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perempuan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perempuan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terhadap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laki-laki</w:t>
      </w:r>
      <w:proofErr w:type="spellEnd"/>
      <w:r w:rsidR="001D3C8D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="001D3C8D" w:rsidRPr="00504ADC">
        <w:rPr>
          <w:rFonts w:ascii="Bookman Old Style" w:hAnsi="Bookman Old Style"/>
          <w:bCs/>
          <w:sz w:val="24"/>
          <w:szCs w:val="24"/>
        </w:rPr>
        <w:t>maupun</w:t>
      </w:r>
      <w:proofErr w:type="spellEnd"/>
      <w:r w:rsidR="001D3C8D"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="001D3C8D" w:rsidRPr="00504ADC">
        <w:rPr>
          <w:rFonts w:ascii="Bookman Old Style" w:hAnsi="Bookman Old Style"/>
          <w:bCs/>
          <w:sz w:val="24"/>
          <w:szCs w:val="24"/>
        </w:rPr>
        <w:t>dilakukan</w:t>
      </w:r>
      <w:proofErr w:type="spellEnd"/>
      <w:r w:rsidR="001D3C8D" w:rsidRPr="00504ADC">
        <w:rPr>
          <w:rFonts w:ascii="Bookman Old Style" w:hAnsi="Bookman Old Style"/>
          <w:bCs/>
          <w:sz w:val="24"/>
          <w:szCs w:val="24"/>
        </w:rPr>
        <w:t xml:space="preserve"> oleh</w:t>
      </w:r>
      <w:r w:rsidR="001D3C8D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B96366">
        <w:rPr>
          <w:rFonts w:ascii="Bookman Old Style" w:hAnsi="Bookman Old Style"/>
          <w:bCs/>
          <w:sz w:val="24"/>
          <w:szCs w:val="24"/>
        </w:rPr>
        <w:t>sesama</w:t>
      </w:r>
      <w:proofErr w:type="spellEnd"/>
      <w:r w:rsidR="000F315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0F3154">
        <w:rPr>
          <w:rFonts w:ascii="Bookman Old Style" w:hAnsi="Bookman Old Style"/>
          <w:bCs/>
          <w:sz w:val="24"/>
          <w:szCs w:val="24"/>
        </w:rPr>
        <w:t>jenis</w:t>
      </w:r>
      <w:proofErr w:type="spellEnd"/>
      <w:r w:rsidR="000F315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0F3154">
        <w:rPr>
          <w:rFonts w:ascii="Bookman Old Style" w:hAnsi="Bookman Old Style"/>
          <w:bCs/>
          <w:sz w:val="24"/>
          <w:szCs w:val="24"/>
        </w:rPr>
        <w:t>kelamin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Sementara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pada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292,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pemohon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meminta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dihapuskannya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frasa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"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belum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dewasa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",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sehingga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semua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proofErr w:type="gramStart"/>
      <w:r w:rsidRPr="00504ADC">
        <w:rPr>
          <w:rFonts w:ascii="Bookman Old Style" w:hAnsi="Bookman Old Style"/>
          <w:bCs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dapat</w:t>
      </w:r>
      <w:proofErr w:type="spellEnd"/>
      <w:proofErr w:type="gram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Selain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itu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homoseksual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harus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dilarang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tanpa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membedakan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batasan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usia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korban,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belum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dewasa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sudah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dewasa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>.</w:t>
      </w:r>
    </w:p>
    <w:p w14:paraId="558DD29C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CD57E24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04ADC">
        <w:rPr>
          <w:rFonts w:ascii="Bookman Old Style" w:hAnsi="Bookman Old Style"/>
          <w:bCs/>
          <w:sz w:val="24"/>
          <w:szCs w:val="24"/>
        </w:rPr>
        <w:t xml:space="preserve">Dalam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putusannya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lima Hakim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berpendapat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bahwa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substansi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permohonan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dimaksud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sudah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menyangkut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perumusan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delik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baru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mengubah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secara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mendasar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subjek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sifat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melawan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maupun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sanksi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>/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ancaman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Hal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itu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berakibat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pada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perubahan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prinsip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pokok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konsep-konsep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dasar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berkenaan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suatu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r w:rsidRPr="00504ADC">
        <w:rPr>
          <w:rFonts w:ascii="Bookman Old Style" w:hAnsi="Bookman Old Style"/>
          <w:b/>
          <w:bCs/>
          <w:sz w:val="24"/>
          <w:szCs w:val="24"/>
        </w:rPr>
        <w:t xml:space="preserve">Jadi,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hal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itu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sesungguhnya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telah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memasuki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wilayah </w:t>
      </w:r>
      <w:r w:rsidRPr="00504ADC">
        <w:rPr>
          <w:rFonts w:ascii="Bookman Old Style" w:hAnsi="Bookman Old Style"/>
          <w:b/>
          <w:bCs/>
          <w:i/>
          <w:sz w:val="24"/>
          <w:szCs w:val="24"/>
        </w:rPr>
        <w:t>“criminal policy”</w:t>
      </w:r>
      <w:r w:rsidRPr="00504ADC">
        <w:rPr>
          <w:rFonts w:ascii="Bookman Old Style" w:hAnsi="Bookman Old Style"/>
          <w:b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kewenangannya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ada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pada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pembentuk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undang-undang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, DPR dan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Presiden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Secara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substansial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putusan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memberikan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pemaknaan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terhadap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suatu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norma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baik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memperluas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ataupun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mempersempit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norma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Meski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demikian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itu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terbatas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pada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mengubah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sesuatu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sebelumnya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menjadi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berakibat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seseorang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berupa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perampasan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kemerdekaan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seseorang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Dalam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putusannya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menolak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gugatan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Pemohon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karena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pembentukan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norma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baru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bukan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merupakan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kewenangan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melainkan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kewenangan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Pembentuk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demikian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Mahkamah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sudah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menegaskan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agar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langkah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perbaikan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perlu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dibawa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pembentuk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undang-undang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untuk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melengkapi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pasal-pasal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mengatur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delik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>.</w:t>
      </w:r>
    </w:p>
    <w:p w14:paraId="65551241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AA2607" w14:textId="45898122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Namun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4 (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empat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) orang Hakim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yaitu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r w:rsidR="004F225D">
        <w:rPr>
          <w:rFonts w:ascii="Bookman Old Style" w:hAnsi="Bookman Old Style"/>
          <w:bCs/>
          <w:sz w:val="24"/>
          <w:szCs w:val="24"/>
        </w:rPr>
        <w:t>Prof. Dr.</w:t>
      </w:r>
      <w:r w:rsidR="0055618E">
        <w:rPr>
          <w:rFonts w:ascii="Bookman Old Style" w:hAnsi="Bookman Old Style"/>
          <w:bCs/>
          <w:sz w:val="24"/>
          <w:szCs w:val="24"/>
        </w:rPr>
        <w:t xml:space="preserve"> </w:t>
      </w:r>
      <w:r w:rsidRPr="00504ADC">
        <w:rPr>
          <w:rFonts w:ascii="Bookman Old Style" w:hAnsi="Bookman Old Style"/>
          <w:bCs/>
          <w:sz w:val="24"/>
          <w:szCs w:val="24"/>
        </w:rPr>
        <w:t>Ari</w:t>
      </w:r>
      <w:r w:rsidR="0055618E">
        <w:rPr>
          <w:rFonts w:ascii="Bookman Old Style" w:hAnsi="Bookman Old Style"/>
          <w:bCs/>
          <w:sz w:val="24"/>
          <w:szCs w:val="24"/>
        </w:rPr>
        <w:t xml:space="preserve">ef </w:t>
      </w:r>
      <w:r w:rsidRPr="00504ADC">
        <w:rPr>
          <w:rFonts w:ascii="Bookman Old Style" w:hAnsi="Bookman Old Style"/>
          <w:bCs/>
          <w:sz w:val="24"/>
          <w:szCs w:val="24"/>
        </w:rPr>
        <w:t>Hidayat</w:t>
      </w:r>
      <w:r w:rsidR="0055618E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="0055618E">
        <w:rPr>
          <w:rFonts w:ascii="Bookman Old Style" w:hAnsi="Bookman Old Style"/>
          <w:bCs/>
          <w:sz w:val="24"/>
          <w:szCs w:val="24"/>
        </w:rPr>
        <w:t>S.H.,M</w:t>
      </w:r>
      <w:proofErr w:type="gramEnd"/>
      <w:r w:rsidR="0055618E">
        <w:rPr>
          <w:rFonts w:ascii="Bookman Old Style" w:hAnsi="Bookman Old Style"/>
          <w:bCs/>
          <w:sz w:val="24"/>
          <w:szCs w:val="24"/>
        </w:rPr>
        <w:t>.S</w:t>
      </w:r>
      <w:r w:rsidR="00384286">
        <w:rPr>
          <w:rFonts w:ascii="Bookman Old Style" w:hAnsi="Bookman Old Style"/>
          <w:bCs/>
          <w:sz w:val="24"/>
          <w:szCs w:val="24"/>
        </w:rPr>
        <w:t xml:space="preserve">, </w:t>
      </w:r>
      <w:r w:rsidR="006020CC">
        <w:rPr>
          <w:rFonts w:ascii="Bookman Old Style" w:hAnsi="Bookman Old Style"/>
          <w:bCs/>
          <w:sz w:val="24"/>
          <w:szCs w:val="24"/>
        </w:rPr>
        <w:t xml:space="preserve">Dr. </w:t>
      </w:r>
      <w:r w:rsidRPr="00504ADC">
        <w:rPr>
          <w:rFonts w:ascii="Bookman Old Style" w:hAnsi="Bookman Old Style"/>
          <w:bCs/>
          <w:sz w:val="24"/>
          <w:szCs w:val="24"/>
        </w:rPr>
        <w:t>Anwar Usman,</w:t>
      </w:r>
      <w:r w:rsidR="00274437">
        <w:rPr>
          <w:rFonts w:ascii="Bookman Old Style" w:hAnsi="Bookman Old Style"/>
          <w:bCs/>
          <w:sz w:val="24"/>
          <w:szCs w:val="24"/>
        </w:rPr>
        <w:t xml:space="preserve"> S.H.,M.H,</w:t>
      </w:r>
      <w:r w:rsidR="002D03FD">
        <w:rPr>
          <w:rFonts w:ascii="Bookman Old Style" w:hAnsi="Bookman Old Style"/>
          <w:bCs/>
          <w:sz w:val="24"/>
          <w:szCs w:val="24"/>
        </w:rPr>
        <w:t>.</w:t>
      </w:r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r w:rsidR="00731FB5">
        <w:rPr>
          <w:rFonts w:ascii="Bookman Old Style" w:hAnsi="Bookman Old Style"/>
          <w:bCs/>
          <w:sz w:val="24"/>
          <w:szCs w:val="24"/>
        </w:rPr>
        <w:t xml:space="preserve">DR.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Wahiduddin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proofErr w:type="gramStart"/>
      <w:r w:rsidRPr="00504ADC">
        <w:rPr>
          <w:rFonts w:ascii="Bookman Old Style" w:hAnsi="Bookman Old Style"/>
          <w:bCs/>
          <w:sz w:val="24"/>
          <w:szCs w:val="24"/>
        </w:rPr>
        <w:t>Adams,</w:t>
      </w:r>
      <w:r w:rsidR="00731FB5">
        <w:rPr>
          <w:rFonts w:ascii="Bookman Old Style" w:hAnsi="Bookman Old Style"/>
          <w:bCs/>
          <w:sz w:val="24"/>
          <w:szCs w:val="24"/>
        </w:rPr>
        <w:t>S.H.</w:t>
      </w:r>
      <w:proofErr w:type="gramEnd"/>
      <w:r w:rsidR="00731FB5">
        <w:rPr>
          <w:rFonts w:ascii="Bookman Old Style" w:hAnsi="Bookman Old Style"/>
          <w:bCs/>
          <w:sz w:val="24"/>
          <w:szCs w:val="24"/>
        </w:rPr>
        <w:t>,</w:t>
      </w:r>
      <w:r w:rsidR="0033063B">
        <w:rPr>
          <w:rFonts w:ascii="Bookman Old Style" w:hAnsi="Bookman Old Style"/>
          <w:bCs/>
          <w:sz w:val="24"/>
          <w:szCs w:val="24"/>
        </w:rPr>
        <w:t>M.A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dan </w:t>
      </w:r>
      <w:proofErr w:type="spellStart"/>
      <w:r w:rsidR="00B442A5">
        <w:rPr>
          <w:rFonts w:ascii="Bookman Old Style" w:hAnsi="Bookman Old Style"/>
          <w:bCs/>
          <w:sz w:val="24"/>
          <w:szCs w:val="24"/>
        </w:rPr>
        <w:t>Prof.Dr</w:t>
      </w:r>
      <w:proofErr w:type="spellEnd"/>
      <w:r w:rsidR="00B442A5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Aswanto</w:t>
      </w:r>
      <w:proofErr w:type="spellEnd"/>
      <w:r w:rsidR="00B442A5">
        <w:rPr>
          <w:rFonts w:ascii="Bookman Old Style" w:hAnsi="Bookman Old Style"/>
          <w:bCs/>
          <w:sz w:val="24"/>
          <w:szCs w:val="24"/>
        </w:rPr>
        <w:t>, SH,</w:t>
      </w:r>
      <w:r w:rsidR="006F71E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6F71EB">
        <w:rPr>
          <w:rFonts w:ascii="Bookman Old Style" w:hAnsi="Bookman Old Style"/>
          <w:bCs/>
          <w:sz w:val="24"/>
          <w:szCs w:val="24"/>
        </w:rPr>
        <w:t>MSi</w:t>
      </w:r>
      <w:proofErr w:type="spellEnd"/>
      <w:r w:rsidR="006F71EB">
        <w:rPr>
          <w:rFonts w:ascii="Bookman Old Style" w:hAnsi="Bookman Old Style"/>
          <w:bCs/>
          <w:sz w:val="24"/>
          <w:szCs w:val="24"/>
        </w:rPr>
        <w:t xml:space="preserve">, D.FM,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memiliki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Pendapat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Berbeda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r w:rsidRPr="00504ADC">
        <w:rPr>
          <w:rFonts w:ascii="Bookman Old Style" w:hAnsi="Bookman Old Style"/>
          <w:bCs/>
          <w:i/>
          <w:sz w:val="24"/>
          <w:szCs w:val="24"/>
        </w:rPr>
        <w:t xml:space="preserve">(Dissenting Opinion).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Bahwa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menafsirkan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284, 285, dan 292 KUHP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harus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memberi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tempat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bagi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nilai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agama,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sinar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Ketuhanan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, dan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nilai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hidup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masyarakat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04ADC">
        <w:rPr>
          <w:rFonts w:ascii="Bookman Old Style" w:hAnsi="Bookman Old Style"/>
          <w:b/>
          <w:bCs/>
          <w:i/>
          <w:sz w:val="24"/>
          <w:szCs w:val="24"/>
        </w:rPr>
        <w:t xml:space="preserve">(living law)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memandang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sifat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ketercelaan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suatu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Bahwa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jika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eksistensi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Pasal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284 KUHP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mempersepit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makna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zina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tetap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dipertahankan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sebagaimana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adanya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maka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kewibawaan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supremasi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konstitusi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di Indonesia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sangat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terancam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karena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mencantumkan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norma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bertentangan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setidak-tidaknya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mempersempit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mereduksi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ruang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lastRenderedPageBreak/>
        <w:t>lingkup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ketercelaan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suatu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telah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digariskan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secara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tegas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Cs/>
          <w:sz w:val="24"/>
          <w:szCs w:val="24"/>
        </w:rPr>
        <w:t>menurut</w:t>
      </w:r>
      <w:proofErr w:type="spellEnd"/>
      <w:r w:rsidRPr="00504ADC">
        <w:rPr>
          <w:rFonts w:ascii="Bookman Old Style" w:hAnsi="Bookman Old Style"/>
          <w:bCs/>
          <w:sz w:val="24"/>
          <w:szCs w:val="24"/>
        </w:rPr>
        <w:t xml:space="preserve"> Hukum Tuhan. </w:t>
      </w:r>
      <w:r w:rsidRPr="00504ADC">
        <w:rPr>
          <w:rFonts w:ascii="Bookman Old Style" w:hAnsi="Bookman Old Style"/>
          <w:b/>
          <w:bCs/>
          <w:sz w:val="24"/>
          <w:szCs w:val="24"/>
        </w:rPr>
        <w:t xml:space="preserve">Jadi,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bisa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membebaskan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suatu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bukan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sebagai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semata-mata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hanya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karena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memenuhi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unsur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delik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padahal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jelas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dilarang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bersifat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sangat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tercela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menurut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nilai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Agama dan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sinar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bCs/>
          <w:sz w:val="24"/>
          <w:szCs w:val="24"/>
        </w:rPr>
        <w:t>Ketuhanan</w:t>
      </w:r>
      <w:proofErr w:type="spellEnd"/>
      <w:r w:rsidRPr="00504ADC">
        <w:rPr>
          <w:rFonts w:ascii="Bookman Old Style" w:hAnsi="Bookman Old Style"/>
          <w:b/>
          <w:bCs/>
          <w:sz w:val="24"/>
          <w:szCs w:val="24"/>
        </w:rPr>
        <w:t>.</w:t>
      </w:r>
      <w:r w:rsidR="008B4AAE">
        <w:rPr>
          <w:rFonts w:ascii="Bookman Old Style" w:hAnsi="Bookman Old Style"/>
          <w:b/>
          <w:bCs/>
          <w:sz w:val="24"/>
          <w:szCs w:val="24"/>
        </w:rPr>
        <w:br/>
      </w:r>
    </w:p>
    <w:p w14:paraId="198188ED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04ADC">
        <w:rPr>
          <w:rFonts w:ascii="Bookman Old Style" w:hAnsi="Bookman Old Style"/>
          <w:b/>
          <w:bCs/>
          <w:i/>
          <w:sz w:val="24"/>
          <w:szCs w:val="24"/>
        </w:rPr>
        <w:t>Kedua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Fraksi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PKS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memberikan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masukan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bahwa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d</w:t>
      </w:r>
      <w:r w:rsidRPr="00504ADC">
        <w:rPr>
          <w:rFonts w:ascii="Bookman Old Style" w:hAnsi="Bookman Old Style"/>
          <w:b/>
          <w:sz w:val="24"/>
          <w:szCs w:val="24"/>
        </w:rPr>
        <w:t>alam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Perumusan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Jenis-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jenis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Sebaiknya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Disesuaikan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telah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Dibahas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RKUHP agar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Rumusan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Lengkap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Integral,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Komprehensif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dan Tidak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Menimbulkan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Pemaknaan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Lain yang Tidak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Sejalan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Pancasila dan UUDNRI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Tahun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1945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96EB049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66D9F3C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04ADC">
        <w:rPr>
          <w:rFonts w:ascii="Bookman Old Style" w:hAnsi="Bookman Old Style"/>
          <w:sz w:val="24"/>
          <w:szCs w:val="24"/>
        </w:rPr>
        <w:t xml:space="preserve">Dalam Bab XV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RKUHP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sudah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dirumuskan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jenis-jenis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meliputi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antara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lain: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Larangan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persetubuhan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orang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bukan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suami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istrinya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Perzinaan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),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Larangan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hidup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bersama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sebagai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suami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istri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04ADC">
        <w:rPr>
          <w:rFonts w:ascii="Bookman Old Style" w:hAnsi="Bookman Old Style"/>
          <w:sz w:val="24"/>
          <w:szCs w:val="24"/>
        </w:rPr>
        <w:t>luar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perkawinan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Larangan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persetubuhan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anggota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keluarga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sedarah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Larangan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cabul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terhadap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orang lain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berbeda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sama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jenis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kelaminnya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Larangan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cabul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terhadap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anak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sebagainya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sz w:val="24"/>
          <w:szCs w:val="24"/>
        </w:rPr>
        <w:t>Rumusan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diatur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RKUHP </w:t>
      </w:r>
      <w:proofErr w:type="spellStart"/>
      <w:r w:rsidRPr="00504ADC">
        <w:rPr>
          <w:rFonts w:ascii="Bookman Old Style" w:hAnsi="Bookman Old Style"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sudah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komprehensif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karena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meliputi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mengandung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dan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mengandung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unsur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seperti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perzinaan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sz w:val="24"/>
          <w:szCs w:val="24"/>
        </w:rPr>
        <w:t>hubungan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sesama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jenis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. </w:t>
      </w:r>
      <w:r w:rsidRPr="00504ADC">
        <w:rPr>
          <w:rFonts w:ascii="Bookman Old Style" w:hAnsi="Bookman Old Style"/>
          <w:b/>
          <w:sz w:val="24"/>
          <w:szCs w:val="24"/>
        </w:rPr>
        <w:t xml:space="preserve">Oleh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karena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itu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rangka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membentuk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UU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khusus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terkait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perlu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untuk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memasukkan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jenis-jenis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secara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lengkap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. Karena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materi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muatan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RUU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sangat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berkaitan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erat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pengaturan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maka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sebaiknya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rumusan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disesuaikan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RKUHP. </w:t>
      </w:r>
    </w:p>
    <w:p w14:paraId="76829BE8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A40EB1" w14:textId="77777777" w:rsidR="00F876B5" w:rsidRPr="00504ADC" w:rsidRDefault="00F876B5" w:rsidP="00F876B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04ADC">
        <w:rPr>
          <w:rFonts w:ascii="Bookman Old Style" w:hAnsi="Bookman Old Style"/>
          <w:sz w:val="24"/>
          <w:szCs w:val="24"/>
        </w:rPr>
        <w:t>Jikapun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hal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tersebut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dimungkinkan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maka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sebaiknya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pembahasan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pengesahan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RUU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dilakukan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setelah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RKUHP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disahkan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setidaknya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dilakukan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secara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bersamaan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pembahasan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pengesahan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RKUHP</w:t>
      </w:r>
      <w:r w:rsidRPr="00504AD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sz w:val="24"/>
          <w:szCs w:val="24"/>
        </w:rPr>
        <w:t>Apalagi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RKUHP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merupakan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RUU </w:t>
      </w:r>
      <w:r w:rsidRPr="00504ADC">
        <w:rPr>
          <w:rFonts w:ascii="Bookman Old Style" w:hAnsi="Bookman Old Style"/>
          <w:i/>
          <w:sz w:val="24"/>
          <w:szCs w:val="24"/>
        </w:rPr>
        <w:t>carry over</w:t>
      </w:r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dari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periode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sebelumnya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dapat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langsung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dibahas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tanpa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mengulang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prosedur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penyusunan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RUU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dari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awal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. Hal </w:t>
      </w:r>
      <w:proofErr w:type="spellStart"/>
      <w:r w:rsidRPr="00504ADC">
        <w:rPr>
          <w:rFonts w:ascii="Bookman Old Style" w:hAnsi="Bookman Old Style"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penting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penafsiran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berbeda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atau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kekosongan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mengingat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rumusan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RUU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hanya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berkaitan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perbuatan-perbuatan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mengandung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unsur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saja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sedangkan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perbuatan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seksual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dilakukan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atas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dasar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suka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sama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suka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r w:rsidRPr="00504ADC">
        <w:rPr>
          <w:rFonts w:ascii="Bookman Old Style" w:hAnsi="Bookman Old Style"/>
          <w:i/>
          <w:sz w:val="24"/>
          <w:szCs w:val="24"/>
        </w:rPr>
        <w:t>(sexual consent)</w:t>
      </w:r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mengandung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kekerasan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meskipun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bertentangan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dengan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Hukum Agama dan </w:t>
      </w:r>
      <w:proofErr w:type="spellStart"/>
      <w:r w:rsidRPr="00504ADC">
        <w:rPr>
          <w:rFonts w:ascii="Bookman Old Style" w:hAnsi="Bookman Old Style"/>
          <w:sz w:val="24"/>
          <w:szCs w:val="24"/>
        </w:rPr>
        <w:t>nilai-nilai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sz w:val="24"/>
          <w:szCs w:val="24"/>
        </w:rPr>
        <w:t>hidup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04ADC">
        <w:rPr>
          <w:rFonts w:ascii="Bookman Old Style" w:hAnsi="Bookman Old Style"/>
          <w:sz w:val="24"/>
          <w:szCs w:val="24"/>
        </w:rPr>
        <w:t>masyarakat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sz w:val="24"/>
          <w:szCs w:val="24"/>
        </w:rPr>
        <w:t>tetap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dapat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sz w:val="24"/>
          <w:szCs w:val="24"/>
        </w:rPr>
        <w:t>dipidana</w:t>
      </w:r>
      <w:proofErr w:type="spellEnd"/>
      <w:r w:rsidRPr="00504AD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Pengaturan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komprehensif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tentang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Tindak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Pidana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Kesusilaan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ini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lastRenderedPageBreak/>
        <w:t>harus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mempertimbangkan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tidak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hanya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pengarusutamaan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hak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asasi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manusia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tetapi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juga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didasarkan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pada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nilai-nilai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Pancasila dan UUDNRI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Tahun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1945 yang Ber-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Ketuhanan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Yang Maha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Esa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, yang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artinya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nilai-nilai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Ketuhanan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yang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bersumber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dari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hukum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Agama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memiliki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tempat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dalam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sistem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norma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dan </w:t>
      </w:r>
      <w:proofErr w:type="spellStart"/>
      <w:r w:rsidRPr="00504ADC">
        <w:rPr>
          <w:rFonts w:ascii="Bookman Old Style" w:hAnsi="Bookman Old Style"/>
          <w:b/>
          <w:sz w:val="24"/>
          <w:szCs w:val="24"/>
        </w:rPr>
        <w:t>perundang-undangan</w:t>
      </w:r>
      <w:proofErr w:type="spellEnd"/>
      <w:r w:rsidRPr="00504ADC">
        <w:rPr>
          <w:rFonts w:ascii="Bookman Old Style" w:hAnsi="Bookman Old Style"/>
          <w:b/>
          <w:sz w:val="24"/>
          <w:szCs w:val="24"/>
        </w:rPr>
        <w:t xml:space="preserve"> di Indonesia.</w:t>
      </w:r>
    </w:p>
    <w:p w14:paraId="2FD45612" w14:textId="77777777" w:rsidR="00F876B5" w:rsidRDefault="00F876B5" w:rsidP="00F876B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7FF6CC19" w14:textId="77777777" w:rsidR="00F876B5" w:rsidRDefault="00F876B5" w:rsidP="00F876B5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259F2">
        <w:rPr>
          <w:rFonts w:ascii="Bookman Old Style" w:hAnsi="Bookman Old Style" w:cs="Arial"/>
          <w:sz w:val="24"/>
          <w:szCs w:val="24"/>
        </w:rPr>
        <w:t xml:space="preserve">Demikian </w:t>
      </w:r>
      <w:proofErr w:type="spellStart"/>
      <w:r>
        <w:rPr>
          <w:rFonts w:ascii="Bookman Old Style" w:hAnsi="Bookman Old Style" w:cs="Arial"/>
          <w:sz w:val="24"/>
          <w:szCs w:val="24"/>
        </w:rPr>
        <w:t>Sikap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Fraksi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PKS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kami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sampaikan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. </w:t>
      </w:r>
      <w:r w:rsidRPr="00F259F2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t xml:space="preserve">Semoga Rapat hari ini memperoleh kesimpulan yang terbaik, sebagai ikhtiar kita untuk menyusun undang-undang yang komprehensif memberikan perlindungan berkaitan dengan Tindak Pidana Kesusilaan. </w:t>
      </w:r>
    </w:p>
    <w:p w14:paraId="3A00D9F0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F259F2">
        <w:rPr>
          <w:rFonts w:ascii="Bookman Old Style" w:hAnsi="Bookman Old Style" w:cs="Arial"/>
          <w:sz w:val="24"/>
          <w:szCs w:val="24"/>
          <w:lang w:val="fi-FI"/>
        </w:rPr>
        <w:t xml:space="preserve">Atas perhatian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Pimpinan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Anggota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Badan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Legislasi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DPR-RI, para Menteri </w:t>
      </w:r>
      <w:proofErr w:type="spellStart"/>
      <w:r>
        <w:rPr>
          <w:rFonts w:ascii="Bookman Old Style" w:hAnsi="Bookman Old Style" w:cs="Arial"/>
          <w:sz w:val="24"/>
          <w:szCs w:val="24"/>
        </w:rPr>
        <w:t>terkait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serta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hadirin</w:t>
      </w:r>
      <w:proofErr w:type="spellEnd"/>
      <w:r w:rsidRPr="00F259F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259F2">
        <w:rPr>
          <w:rFonts w:ascii="Bookman Old Style" w:hAnsi="Bookman Old Style" w:cs="Arial"/>
          <w:sz w:val="24"/>
          <w:szCs w:val="24"/>
        </w:rPr>
        <w:t>sekalian</w:t>
      </w:r>
      <w:proofErr w:type="spellEnd"/>
      <w:r w:rsidRPr="00F259F2">
        <w:rPr>
          <w:rFonts w:ascii="Bookman Old Style" w:hAnsi="Bookman Old Style" w:cs="Arial"/>
          <w:sz w:val="24"/>
          <w:szCs w:val="24"/>
          <w:lang w:val="fi-FI"/>
        </w:rPr>
        <w:t xml:space="preserve"> kami ucapkan terima kasih.</w:t>
      </w:r>
    </w:p>
    <w:p w14:paraId="4DB59398" w14:textId="77777777" w:rsidR="00F876B5" w:rsidRDefault="00F876B5" w:rsidP="00F876B5">
      <w:pPr>
        <w:spacing w:after="120"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</w:p>
    <w:p w14:paraId="49EC0C07" w14:textId="77777777" w:rsidR="00F876B5" w:rsidRPr="00F259F2" w:rsidRDefault="00F876B5" w:rsidP="00F876B5">
      <w:pPr>
        <w:spacing w:after="120"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Billahi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taufiq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wal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hidayah</w:t>
      </w:r>
      <w:proofErr w:type="spellEnd"/>
    </w:p>
    <w:p w14:paraId="7F965243" w14:textId="77777777" w:rsidR="00F876B5" w:rsidRDefault="00F876B5" w:rsidP="00F876B5">
      <w:pPr>
        <w:spacing w:after="120"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val="id-ID"/>
        </w:rPr>
      </w:pP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Wassalamu’alaikum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Warohmatullohi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 xml:space="preserve"> </w:t>
      </w:r>
      <w:proofErr w:type="spellStart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Wabarokatuh</w:t>
      </w:r>
      <w:proofErr w:type="spellEnd"/>
      <w:r w:rsidRPr="00F259F2">
        <w:rPr>
          <w:rFonts w:ascii="Bookman Old Style" w:eastAsia="Times New Roman" w:hAnsi="Bookman Old Style"/>
          <w:b/>
          <w:i/>
          <w:sz w:val="24"/>
          <w:szCs w:val="24"/>
        </w:rPr>
        <w:t>.</w:t>
      </w:r>
    </w:p>
    <w:p w14:paraId="44DEDFDB" w14:textId="77777777" w:rsidR="00F876B5" w:rsidRDefault="00F876B5" w:rsidP="00F876B5">
      <w:pPr>
        <w:spacing w:after="120"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val="id-ID"/>
        </w:rPr>
      </w:pPr>
    </w:p>
    <w:p w14:paraId="353EB6CA" w14:textId="77777777" w:rsidR="00F876B5" w:rsidRPr="00C57277" w:rsidRDefault="00F876B5" w:rsidP="00F876B5">
      <w:pPr>
        <w:spacing w:after="0" w:line="240" w:lineRule="auto"/>
        <w:jc w:val="both"/>
        <w:rPr>
          <w:rFonts w:ascii="Bookman Old Style" w:eastAsia="Times New Roman" w:hAnsi="Bookman Old Style"/>
          <w:bCs/>
          <w:i/>
          <w:sz w:val="24"/>
          <w:szCs w:val="24"/>
          <w:lang w:val="id-ID"/>
        </w:rPr>
      </w:pPr>
      <w:r w:rsidRPr="00C57277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 xml:space="preserve">Jakarta, </w:t>
      </w:r>
      <w:r w:rsidRPr="00C57277">
        <w:rPr>
          <w:rFonts w:ascii="Bookman Old Style" w:eastAsia="Times New Roman" w:hAnsi="Bookman Old Style"/>
          <w:bCs/>
          <w:i/>
          <w:sz w:val="24"/>
          <w:szCs w:val="24"/>
          <w:u w:val="single"/>
          <w:lang w:val="id-ID"/>
        </w:rPr>
        <w:t>21 Sya’ban 1443 H</w:t>
      </w:r>
    </w:p>
    <w:p w14:paraId="41F7423E" w14:textId="77777777" w:rsidR="00F876B5" w:rsidRPr="00C57277" w:rsidRDefault="00F876B5" w:rsidP="00F876B5">
      <w:pPr>
        <w:spacing w:after="0" w:line="240" w:lineRule="auto"/>
        <w:jc w:val="both"/>
        <w:rPr>
          <w:rFonts w:ascii="Bookman Old Style" w:eastAsia="Times New Roman" w:hAnsi="Bookman Old Style"/>
          <w:bCs/>
          <w:i/>
          <w:sz w:val="24"/>
          <w:szCs w:val="24"/>
          <w:lang w:val="id-ID"/>
        </w:rPr>
      </w:pPr>
      <w:r w:rsidRPr="00C57277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 xml:space="preserve">            </w:t>
      </w:r>
      <w:r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 xml:space="preserve">   </w:t>
      </w:r>
      <w:r w:rsidRPr="00C57277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 xml:space="preserve">   24 Maret 2022</w:t>
      </w:r>
    </w:p>
    <w:p w14:paraId="45B51CB7" w14:textId="77777777" w:rsidR="00F876B5" w:rsidRPr="00C57277" w:rsidRDefault="00F876B5" w:rsidP="00F876B5">
      <w:pPr>
        <w:tabs>
          <w:tab w:val="left" w:pos="2323"/>
        </w:tabs>
        <w:spacing w:after="120" w:line="240" w:lineRule="auto"/>
        <w:jc w:val="both"/>
        <w:rPr>
          <w:rFonts w:ascii="Bookman Old Style" w:eastAsia="Times New Roman" w:hAnsi="Bookman Old Style"/>
          <w:bCs/>
          <w:i/>
          <w:sz w:val="24"/>
          <w:szCs w:val="24"/>
          <w:lang w:val="id-ID"/>
        </w:rPr>
      </w:pPr>
      <w:r w:rsidRPr="00C57277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ab/>
      </w:r>
    </w:p>
    <w:p w14:paraId="501B6A4D" w14:textId="77777777" w:rsidR="00F876B5" w:rsidRDefault="00F876B5" w:rsidP="00F876B5">
      <w:pPr>
        <w:spacing w:after="0" w:line="240" w:lineRule="auto"/>
        <w:jc w:val="center"/>
        <w:rPr>
          <w:rFonts w:ascii="Book Antiqua" w:hAnsi="Book Antiqua"/>
          <w:b/>
          <w:lang w:val="id-ID"/>
        </w:rPr>
      </w:pPr>
      <w:r>
        <w:rPr>
          <w:rFonts w:ascii="Book Antiqua" w:hAnsi="Book Antiqua"/>
          <w:b/>
          <w:lang w:val="id-ID"/>
        </w:rPr>
        <w:t>POKDAN BALEG</w:t>
      </w:r>
    </w:p>
    <w:p w14:paraId="46C9F34C" w14:textId="77777777" w:rsidR="00F876B5" w:rsidRDefault="00F876B5" w:rsidP="00F876B5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lang w:val="id-ID"/>
        </w:rPr>
        <w:t xml:space="preserve">FRAKSI PARTAI </w:t>
      </w:r>
      <w:r>
        <w:rPr>
          <w:rFonts w:ascii="Book Antiqua" w:hAnsi="Book Antiqua"/>
          <w:b/>
        </w:rPr>
        <w:t>KEADILAN SEJAHTERA</w:t>
      </w:r>
    </w:p>
    <w:p w14:paraId="4C8796F5" w14:textId="77777777" w:rsidR="00F876B5" w:rsidRDefault="00F876B5" w:rsidP="00F876B5">
      <w:pPr>
        <w:spacing w:after="0" w:line="240" w:lineRule="auto"/>
        <w:jc w:val="center"/>
        <w:rPr>
          <w:rFonts w:ascii="Book Antiqua" w:hAnsi="Book Antiqua" w:cs="Arial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EE8CC02" wp14:editId="43E75FF0">
            <wp:simplePos x="0" y="0"/>
            <wp:positionH relativeFrom="column">
              <wp:posOffset>1023620</wp:posOffset>
            </wp:positionH>
            <wp:positionV relativeFrom="paragraph">
              <wp:posOffset>90805</wp:posOffset>
            </wp:positionV>
            <wp:extent cx="3834130" cy="1642110"/>
            <wp:effectExtent l="0" t="0" r="0" b="0"/>
            <wp:wrapNone/>
            <wp:docPr id="301" name="Picture 301" descr="157404826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4048261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>DEWAN PERWAKILAN RAKYAT REPUBLIK INDONESIA</w:t>
      </w:r>
      <w:r>
        <w:rPr>
          <w:rFonts w:ascii="Book Antiqua" w:hAnsi="Book Antiqua" w:cs="Arial"/>
          <w:b/>
        </w:rPr>
        <w:t xml:space="preserve">                        </w:t>
      </w:r>
    </w:p>
    <w:p w14:paraId="08B70182" w14:textId="77777777" w:rsidR="00F876B5" w:rsidRDefault="00F876B5" w:rsidP="00F876B5">
      <w:pPr>
        <w:spacing w:after="0" w:line="240" w:lineRule="auto"/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Ketua</w:t>
      </w:r>
      <w:proofErr w:type="spellEnd"/>
      <w:r>
        <w:rPr>
          <w:rFonts w:ascii="Book Antiqua" w:hAnsi="Book Antiqua"/>
          <w:b/>
        </w:rPr>
        <w:t>,</w:t>
      </w:r>
    </w:p>
    <w:p w14:paraId="6FC19D28" w14:textId="77777777" w:rsidR="00F876B5" w:rsidRDefault="00F876B5" w:rsidP="00F876B5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71B70BED" w14:textId="77777777" w:rsidR="00F876B5" w:rsidRDefault="00F876B5" w:rsidP="00F876B5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165181CE" w14:textId="77777777" w:rsidR="00F876B5" w:rsidRDefault="00F876B5" w:rsidP="00F876B5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4FED754E" w14:textId="77777777" w:rsidR="00F876B5" w:rsidRDefault="00F876B5" w:rsidP="00F876B5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63BA1763" w14:textId="77777777" w:rsidR="00F876B5" w:rsidRDefault="00F876B5" w:rsidP="00F876B5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</w:t>
      </w:r>
    </w:p>
    <w:p w14:paraId="752019F0" w14:textId="77777777" w:rsidR="00F876B5" w:rsidRDefault="00F876B5" w:rsidP="00F876B5">
      <w:pPr>
        <w:spacing w:after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u w:val="single"/>
        </w:rPr>
        <w:t xml:space="preserve">Dr. </w:t>
      </w:r>
      <w:r>
        <w:rPr>
          <w:rFonts w:ascii="Book Antiqua" w:hAnsi="Book Antiqua"/>
          <w:b/>
          <w:bCs/>
          <w:u w:val="single"/>
        </w:rPr>
        <w:t xml:space="preserve">H. </w:t>
      </w:r>
      <w:proofErr w:type="spellStart"/>
      <w:r>
        <w:rPr>
          <w:rFonts w:ascii="Book Antiqua" w:hAnsi="Book Antiqua"/>
          <w:b/>
          <w:bCs/>
          <w:u w:val="single"/>
        </w:rPr>
        <w:t>Almuzzammil</w:t>
      </w:r>
      <w:proofErr w:type="spellEnd"/>
      <w:r>
        <w:rPr>
          <w:rFonts w:ascii="Book Antiqua" w:hAnsi="Book Antiqua"/>
          <w:b/>
          <w:bCs/>
          <w:u w:val="single"/>
        </w:rPr>
        <w:t xml:space="preserve"> Yusuf, M. Si.</w:t>
      </w:r>
    </w:p>
    <w:p w14:paraId="6B8FF862" w14:textId="77777777" w:rsidR="00F876B5" w:rsidRPr="00C57277" w:rsidRDefault="00F876B5" w:rsidP="00F876B5">
      <w:pPr>
        <w:spacing w:after="0"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val="id-ID"/>
        </w:rPr>
      </w:pPr>
      <w:r>
        <w:rPr>
          <w:rFonts w:ascii="Book Antiqua" w:hAnsi="Book Antiqua"/>
          <w:b/>
        </w:rPr>
        <w:t xml:space="preserve">                                                                      </w:t>
      </w:r>
      <w:r>
        <w:rPr>
          <w:rFonts w:ascii="Book Antiqua" w:hAnsi="Book Antiqua"/>
          <w:b/>
          <w:lang w:val="id-ID"/>
        </w:rPr>
        <w:t xml:space="preserve">          </w:t>
      </w:r>
      <w:r>
        <w:rPr>
          <w:rFonts w:ascii="Book Antiqua" w:hAnsi="Book Antiqua"/>
          <w:b/>
        </w:rPr>
        <w:t xml:space="preserve"> A-420</w:t>
      </w:r>
    </w:p>
    <w:p w14:paraId="0D38AC89" w14:textId="77777777" w:rsidR="00D83771" w:rsidRDefault="00D83771"/>
    <w:sectPr w:rsidR="00D83771" w:rsidSect="00CC5E04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D47F" w14:textId="77777777" w:rsidR="002D2426" w:rsidRDefault="002D2426">
      <w:pPr>
        <w:spacing w:after="0" w:line="240" w:lineRule="auto"/>
      </w:pPr>
      <w:r>
        <w:separator/>
      </w:r>
    </w:p>
  </w:endnote>
  <w:endnote w:type="continuationSeparator" w:id="0">
    <w:p w14:paraId="15831515" w14:textId="77777777" w:rsidR="002D2426" w:rsidRDefault="002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190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0386C" w14:textId="77777777" w:rsidR="00C57277" w:rsidRDefault="00F876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14FC4" w14:textId="77777777" w:rsidR="00C57277" w:rsidRDefault="002D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C846" w14:textId="77777777" w:rsidR="002D2426" w:rsidRDefault="002D2426">
      <w:pPr>
        <w:spacing w:after="0" w:line="240" w:lineRule="auto"/>
      </w:pPr>
      <w:r>
        <w:separator/>
      </w:r>
    </w:p>
  </w:footnote>
  <w:footnote w:type="continuationSeparator" w:id="0">
    <w:p w14:paraId="05636611" w14:textId="77777777" w:rsidR="002D2426" w:rsidRDefault="002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B623" w14:textId="77777777" w:rsidR="0068452F" w:rsidRPr="00C21166" w:rsidRDefault="002D2426" w:rsidP="0068452F">
    <w:pPr>
      <w:pStyle w:val="Header"/>
      <w:rPr>
        <w:rFonts w:ascii="Bookman Old Style" w:hAnsi="Bookman Old Style"/>
        <w:b/>
      </w:rPr>
    </w:pPr>
  </w:p>
  <w:p w14:paraId="57532612" w14:textId="77777777" w:rsidR="0068452F" w:rsidRDefault="002D2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B5"/>
    <w:rsid w:val="000335B4"/>
    <w:rsid w:val="00057C50"/>
    <w:rsid w:val="000E72F5"/>
    <w:rsid w:val="000F3154"/>
    <w:rsid w:val="00142773"/>
    <w:rsid w:val="001D3C8D"/>
    <w:rsid w:val="00274437"/>
    <w:rsid w:val="002D03FD"/>
    <w:rsid w:val="002D2426"/>
    <w:rsid w:val="002D47EF"/>
    <w:rsid w:val="0031452A"/>
    <w:rsid w:val="0033063B"/>
    <w:rsid w:val="00384286"/>
    <w:rsid w:val="003F7E03"/>
    <w:rsid w:val="004627F0"/>
    <w:rsid w:val="004772BF"/>
    <w:rsid w:val="004911D8"/>
    <w:rsid w:val="004F225D"/>
    <w:rsid w:val="00535DAE"/>
    <w:rsid w:val="0055618E"/>
    <w:rsid w:val="006020CC"/>
    <w:rsid w:val="006F63E8"/>
    <w:rsid w:val="006F71EB"/>
    <w:rsid w:val="0071455F"/>
    <w:rsid w:val="00731FB5"/>
    <w:rsid w:val="007B3D59"/>
    <w:rsid w:val="008B4AAE"/>
    <w:rsid w:val="0095064F"/>
    <w:rsid w:val="009C7DAB"/>
    <w:rsid w:val="00A25024"/>
    <w:rsid w:val="00B442A5"/>
    <w:rsid w:val="00B96366"/>
    <w:rsid w:val="00BD0981"/>
    <w:rsid w:val="00C9141E"/>
    <w:rsid w:val="00D24A81"/>
    <w:rsid w:val="00D83771"/>
    <w:rsid w:val="00F00E3E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DDF9"/>
  <w15:docId w15:val="{8CEB3467-5108-CF4B-8D0A-32119F7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B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B5"/>
    <w:rPr>
      <w:lang w:val="en-US"/>
    </w:rPr>
  </w:style>
  <w:style w:type="table" w:styleId="TableGrid">
    <w:name w:val="Table Grid"/>
    <w:basedOn w:val="TableNormal"/>
    <w:uiPriority w:val="59"/>
    <w:rsid w:val="00BD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7114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yuser</dc:creator>
  <cp:lastModifiedBy>Heryadi Sivianto</cp:lastModifiedBy>
  <cp:revision>3</cp:revision>
  <dcterms:created xsi:type="dcterms:W3CDTF">2022-03-24T07:29:00Z</dcterms:created>
  <dcterms:modified xsi:type="dcterms:W3CDTF">2022-03-25T22:44:00Z</dcterms:modified>
</cp:coreProperties>
</file>